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72" w:rsidRDefault="00BB4A72" w:rsidP="008E0213">
      <w:pPr>
        <w:ind w:right="1008"/>
        <w:rPr>
          <w:rFonts w:ascii="Times New Roman" w:hAnsi="Times New Roman"/>
        </w:rPr>
      </w:pPr>
    </w:p>
    <w:p w:rsidR="002C0B32" w:rsidRDefault="000F6EF5" w:rsidP="007860A0">
      <w:pPr>
        <w:pStyle w:val="BasicParagraph"/>
        <w:rPr>
          <w:rFonts w:ascii="Arial Narrow" w:hAnsi="Arial Narrow"/>
          <w:sz w:val="20"/>
          <w:szCs w:val="20"/>
        </w:rPr>
      </w:pPr>
      <w:r>
        <w:rPr>
          <w:rFonts w:ascii="Arial Narrow" w:hAnsi="Arial Narrow"/>
          <w:sz w:val="20"/>
          <w:szCs w:val="20"/>
        </w:rPr>
        <w:t xml:space="preserve">I have spent the past several days looking at the data you sent to me.  I’m not sure I know what is going on.  If you </w:t>
      </w:r>
      <w:r w:rsidR="00BB23A8">
        <w:rPr>
          <w:rFonts w:ascii="Arial Narrow" w:hAnsi="Arial Narrow"/>
          <w:sz w:val="20"/>
          <w:szCs w:val="20"/>
        </w:rPr>
        <w:t>did</w:t>
      </w:r>
      <w:r>
        <w:rPr>
          <w:rFonts w:ascii="Arial Narrow" w:hAnsi="Arial Narrow"/>
          <w:sz w:val="20"/>
          <w:szCs w:val="20"/>
        </w:rPr>
        <w:t xml:space="preserve"> not told me that the twenty sample scans were of the same sample I would have told you that the Production unit reporting of 54.xx </w:t>
      </w:r>
      <w:r w:rsidR="00BB23A8">
        <w:rPr>
          <w:rFonts w:ascii="Arial Narrow" w:hAnsi="Arial Narrow"/>
          <w:sz w:val="20"/>
          <w:szCs w:val="20"/>
        </w:rPr>
        <w:t>OHV was</w:t>
      </w:r>
      <w:r>
        <w:rPr>
          <w:rFonts w:ascii="Arial Narrow" w:hAnsi="Arial Narrow"/>
          <w:sz w:val="20"/>
          <w:szCs w:val="20"/>
        </w:rPr>
        <w:t xml:space="preserve"> either a different sample or the calibration was in need of bias correction.</w:t>
      </w:r>
    </w:p>
    <w:p w:rsidR="000F6EF5" w:rsidRDefault="000F6EF5" w:rsidP="007860A0">
      <w:pPr>
        <w:pStyle w:val="BasicParagraph"/>
        <w:rPr>
          <w:rFonts w:ascii="Arial Narrow" w:hAnsi="Arial Narrow"/>
          <w:sz w:val="20"/>
          <w:szCs w:val="20"/>
        </w:rPr>
      </w:pPr>
    </w:p>
    <w:p w:rsidR="000F6EF5" w:rsidRDefault="000F6EF5" w:rsidP="007860A0">
      <w:pPr>
        <w:pStyle w:val="BasicParagraph"/>
        <w:rPr>
          <w:rFonts w:ascii="Arial Narrow" w:hAnsi="Arial Narrow"/>
          <w:sz w:val="20"/>
          <w:szCs w:val="20"/>
        </w:rPr>
      </w:pPr>
      <w:r>
        <w:rPr>
          <w:rFonts w:ascii="Arial Narrow" w:hAnsi="Arial Narrow"/>
          <w:sz w:val="20"/>
          <w:szCs w:val="20"/>
        </w:rPr>
        <w:t>I thought I would first look at the predicted values for each instrument to get a sense of the mean and standardization</w:t>
      </w:r>
      <w:r w:rsidR="00B413B3">
        <w:rPr>
          <w:rFonts w:ascii="Arial Narrow" w:hAnsi="Arial Narrow"/>
          <w:sz w:val="20"/>
          <w:szCs w:val="20"/>
        </w:rPr>
        <w:t xml:space="preserve"> for</w:t>
      </w:r>
      <w:r>
        <w:rPr>
          <w:rFonts w:ascii="Arial Narrow" w:hAnsi="Arial Narrow"/>
          <w:sz w:val="20"/>
          <w:szCs w:val="20"/>
        </w:rPr>
        <w:t xml:space="preserve"> each group of ten replicates.</w:t>
      </w:r>
    </w:p>
    <w:p w:rsidR="000F6EF5" w:rsidRDefault="000F6EF5" w:rsidP="007860A0">
      <w:pPr>
        <w:pStyle w:val="BasicParagraph"/>
        <w:rPr>
          <w:rFonts w:ascii="Arial Narrow" w:hAnsi="Arial Narrow"/>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1"/>
        <w:gridCol w:w="1109"/>
        <w:gridCol w:w="1170"/>
        <w:gridCol w:w="1283"/>
        <w:gridCol w:w="1496"/>
        <w:gridCol w:w="1712"/>
        <w:gridCol w:w="1557"/>
      </w:tblGrid>
      <w:tr w:rsidR="006E61BB" w:rsidRPr="006E61BB" w:rsidTr="006E61BB">
        <w:tc>
          <w:tcPr>
            <w:tcW w:w="1411" w:type="dxa"/>
            <w:tcBorders>
              <w:top w:val="nil"/>
              <w:left w:val="nil"/>
              <w:bottom w:val="single" w:sz="4" w:space="0" w:color="auto"/>
              <w:right w:val="nil"/>
            </w:tcBorders>
            <w:shd w:val="clear" w:color="auto" w:fill="auto"/>
            <w:vAlign w:val="bottom"/>
          </w:tcPr>
          <w:p w:rsidR="007937A3" w:rsidRPr="006E61BB" w:rsidRDefault="007937A3" w:rsidP="006E61BB">
            <w:pPr>
              <w:pStyle w:val="BasicParagraph"/>
              <w:jc w:val="right"/>
              <w:rPr>
                <w:rFonts w:ascii="Arial Narrow" w:hAnsi="Arial Narrow"/>
                <w:sz w:val="20"/>
                <w:szCs w:val="20"/>
              </w:rPr>
            </w:pPr>
          </w:p>
        </w:tc>
        <w:tc>
          <w:tcPr>
            <w:tcW w:w="1109" w:type="dxa"/>
            <w:tcBorders>
              <w:top w:val="nil"/>
              <w:left w:val="nil"/>
              <w:bottom w:val="single" w:sz="4" w:space="0" w:color="auto"/>
              <w:right w:val="nil"/>
            </w:tcBorders>
            <w:shd w:val="clear" w:color="auto" w:fill="auto"/>
            <w:vAlign w:val="bottom"/>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 xml:space="preserve">QC </w:t>
            </w:r>
            <w:r w:rsidR="0059279E" w:rsidRPr="006E61BB">
              <w:rPr>
                <w:rFonts w:ascii="Arial Narrow" w:hAnsi="Arial Narrow"/>
                <w:sz w:val="20"/>
                <w:szCs w:val="20"/>
              </w:rPr>
              <w:t>run</w:t>
            </w:r>
            <w:r w:rsidRPr="006E61BB">
              <w:rPr>
                <w:rFonts w:ascii="Arial Narrow" w:hAnsi="Arial Narrow"/>
                <w:sz w:val="20"/>
                <w:szCs w:val="20"/>
              </w:rPr>
              <w:t xml:space="preserve"> 1</w:t>
            </w:r>
          </w:p>
        </w:tc>
        <w:tc>
          <w:tcPr>
            <w:tcW w:w="1170" w:type="dxa"/>
            <w:tcBorders>
              <w:top w:val="nil"/>
              <w:left w:val="nil"/>
              <w:bottom w:val="single" w:sz="4" w:space="0" w:color="auto"/>
              <w:right w:val="nil"/>
            </w:tcBorders>
            <w:shd w:val="clear" w:color="auto" w:fill="auto"/>
            <w:vAlign w:val="bottom"/>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 xml:space="preserve">QC </w:t>
            </w:r>
            <w:r w:rsidR="0059279E" w:rsidRPr="006E61BB">
              <w:rPr>
                <w:rFonts w:ascii="Arial Narrow" w:hAnsi="Arial Narrow"/>
                <w:sz w:val="20"/>
                <w:szCs w:val="20"/>
              </w:rPr>
              <w:t>run</w:t>
            </w:r>
            <w:r w:rsidRPr="006E61BB">
              <w:rPr>
                <w:rFonts w:ascii="Arial Narrow" w:hAnsi="Arial Narrow"/>
                <w:sz w:val="20"/>
                <w:szCs w:val="20"/>
              </w:rPr>
              <w:t xml:space="preserve"> 2</w:t>
            </w:r>
          </w:p>
        </w:tc>
        <w:tc>
          <w:tcPr>
            <w:tcW w:w="1283" w:type="dxa"/>
            <w:tcBorders>
              <w:top w:val="nil"/>
              <w:left w:val="nil"/>
              <w:bottom w:val="single" w:sz="4" w:space="0" w:color="auto"/>
              <w:right w:val="nil"/>
            </w:tcBorders>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Difference</w:t>
            </w:r>
          </w:p>
        </w:tc>
        <w:tc>
          <w:tcPr>
            <w:tcW w:w="1496" w:type="dxa"/>
            <w:tcBorders>
              <w:top w:val="nil"/>
              <w:left w:val="nil"/>
              <w:bottom w:val="single" w:sz="4" w:space="0" w:color="auto"/>
              <w:right w:val="nil"/>
            </w:tcBorders>
            <w:shd w:val="clear" w:color="auto" w:fill="auto"/>
            <w:vAlign w:val="bottom"/>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 xml:space="preserve">Production </w:t>
            </w:r>
            <w:r w:rsidR="0059279E" w:rsidRPr="006E61BB">
              <w:rPr>
                <w:rFonts w:ascii="Arial Narrow" w:hAnsi="Arial Narrow"/>
                <w:sz w:val="20"/>
                <w:szCs w:val="20"/>
              </w:rPr>
              <w:t>run</w:t>
            </w:r>
            <w:r w:rsidRPr="006E61BB">
              <w:rPr>
                <w:rFonts w:ascii="Arial Narrow" w:hAnsi="Arial Narrow"/>
                <w:sz w:val="20"/>
                <w:szCs w:val="20"/>
              </w:rPr>
              <w:t>1</w:t>
            </w:r>
          </w:p>
        </w:tc>
        <w:tc>
          <w:tcPr>
            <w:tcW w:w="1712" w:type="dxa"/>
            <w:tcBorders>
              <w:top w:val="nil"/>
              <w:left w:val="nil"/>
              <w:bottom w:val="single" w:sz="4" w:space="0" w:color="auto"/>
              <w:right w:val="nil"/>
            </w:tcBorders>
            <w:shd w:val="clear" w:color="auto" w:fill="auto"/>
            <w:vAlign w:val="bottom"/>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 xml:space="preserve">Production </w:t>
            </w:r>
            <w:r w:rsidR="0059279E" w:rsidRPr="006E61BB">
              <w:rPr>
                <w:rFonts w:ascii="Arial Narrow" w:hAnsi="Arial Narrow"/>
                <w:sz w:val="20"/>
                <w:szCs w:val="20"/>
              </w:rPr>
              <w:t>run</w:t>
            </w:r>
            <w:r w:rsidRPr="006E61BB">
              <w:rPr>
                <w:rFonts w:ascii="Arial Narrow" w:hAnsi="Arial Narrow"/>
                <w:sz w:val="20"/>
                <w:szCs w:val="20"/>
              </w:rPr>
              <w:t xml:space="preserve"> 2</w:t>
            </w:r>
          </w:p>
        </w:tc>
        <w:tc>
          <w:tcPr>
            <w:tcW w:w="1557" w:type="dxa"/>
            <w:tcBorders>
              <w:top w:val="nil"/>
              <w:left w:val="nil"/>
              <w:bottom w:val="single" w:sz="4" w:space="0" w:color="auto"/>
              <w:right w:val="nil"/>
            </w:tcBorders>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Difference</w:t>
            </w:r>
          </w:p>
        </w:tc>
      </w:tr>
      <w:tr w:rsidR="006E61BB" w:rsidRPr="006E61BB" w:rsidTr="006E61BB">
        <w:tc>
          <w:tcPr>
            <w:tcW w:w="1411" w:type="dxa"/>
            <w:tcBorders>
              <w:top w:val="single" w:sz="4" w:space="0" w:color="auto"/>
            </w:tcBorders>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Ave OHV value</w:t>
            </w:r>
          </w:p>
        </w:tc>
        <w:tc>
          <w:tcPr>
            <w:tcW w:w="1109" w:type="dxa"/>
            <w:tcBorders>
              <w:top w:val="single" w:sz="4" w:space="0" w:color="auto"/>
            </w:tcBorders>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47.14</w:t>
            </w:r>
          </w:p>
        </w:tc>
        <w:tc>
          <w:tcPr>
            <w:tcW w:w="1170" w:type="dxa"/>
            <w:tcBorders>
              <w:top w:val="single" w:sz="4" w:space="0" w:color="auto"/>
            </w:tcBorders>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46.54</w:t>
            </w:r>
          </w:p>
        </w:tc>
        <w:tc>
          <w:tcPr>
            <w:tcW w:w="1283" w:type="dxa"/>
            <w:tcBorders>
              <w:top w:val="single" w:sz="4" w:space="0" w:color="auto"/>
            </w:tcBorders>
            <w:shd w:val="clear" w:color="auto" w:fill="auto"/>
          </w:tcPr>
          <w:p w:rsidR="007937A3" w:rsidRPr="006E61BB" w:rsidRDefault="00997D5A" w:rsidP="006E61BB">
            <w:pPr>
              <w:pStyle w:val="BasicParagraph"/>
              <w:jc w:val="right"/>
              <w:rPr>
                <w:rFonts w:ascii="Arial Narrow" w:hAnsi="Arial Narrow"/>
                <w:sz w:val="20"/>
                <w:szCs w:val="20"/>
              </w:rPr>
            </w:pPr>
            <w:r w:rsidRPr="006E61BB">
              <w:rPr>
                <w:rFonts w:ascii="Arial Narrow" w:hAnsi="Arial Narrow"/>
                <w:sz w:val="20"/>
                <w:szCs w:val="20"/>
              </w:rPr>
              <w:t>0.60</w:t>
            </w:r>
          </w:p>
        </w:tc>
        <w:tc>
          <w:tcPr>
            <w:tcW w:w="1496" w:type="dxa"/>
            <w:tcBorders>
              <w:top w:val="single" w:sz="4" w:space="0" w:color="auto"/>
            </w:tcBorders>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54.60</w:t>
            </w:r>
          </w:p>
        </w:tc>
        <w:tc>
          <w:tcPr>
            <w:tcW w:w="1712" w:type="dxa"/>
            <w:tcBorders>
              <w:top w:val="single" w:sz="4" w:space="0" w:color="auto"/>
            </w:tcBorders>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48.71</w:t>
            </w:r>
          </w:p>
        </w:tc>
        <w:tc>
          <w:tcPr>
            <w:tcW w:w="1557" w:type="dxa"/>
            <w:tcBorders>
              <w:top w:val="single" w:sz="4" w:space="0" w:color="auto"/>
            </w:tcBorders>
            <w:shd w:val="clear" w:color="auto" w:fill="auto"/>
          </w:tcPr>
          <w:p w:rsidR="007937A3" w:rsidRPr="006E61BB" w:rsidRDefault="00997D5A" w:rsidP="006E61BB">
            <w:pPr>
              <w:pStyle w:val="BasicParagraph"/>
              <w:jc w:val="right"/>
              <w:rPr>
                <w:rFonts w:ascii="Arial Narrow" w:hAnsi="Arial Narrow"/>
                <w:sz w:val="20"/>
                <w:szCs w:val="20"/>
              </w:rPr>
            </w:pPr>
            <w:r w:rsidRPr="006E61BB">
              <w:rPr>
                <w:rFonts w:ascii="Arial Narrow" w:hAnsi="Arial Narrow"/>
                <w:sz w:val="20"/>
                <w:szCs w:val="20"/>
              </w:rPr>
              <w:t>5.89</w:t>
            </w:r>
          </w:p>
        </w:tc>
      </w:tr>
      <w:tr w:rsidR="006E61BB" w:rsidRPr="006E61BB" w:rsidTr="006E61BB">
        <w:tc>
          <w:tcPr>
            <w:tcW w:w="1411" w:type="dxa"/>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Std Dev.</w:t>
            </w:r>
          </w:p>
        </w:tc>
        <w:tc>
          <w:tcPr>
            <w:tcW w:w="1109" w:type="dxa"/>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0.57</w:t>
            </w:r>
          </w:p>
        </w:tc>
        <w:tc>
          <w:tcPr>
            <w:tcW w:w="1170" w:type="dxa"/>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0.14</w:t>
            </w:r>
          </w:p>
        </w:tc>
        <w:tc>
          <w:tcPr>
            <w:tcW w:w="1283" w:type="dxa"/>
            <w:shd w:val="clear" w:color="auto" w:fill="auto"/>
          </w:tcPr>
          <w:p w:rsidR="007937A3" w:rsidRPr="006E61BB" w:rsidRDefault="007937A3" w:rsidP="006E61BB">
            <w:pPr>
              <w:pStyle w:val="BasicParagraph"/>
              <w:jc w:val="right"/>
              <w:rPr>
                <w:rFonts w:ascii="Arial Narrow" w:hAnsi="Arial Narrow"/>
                <w:sz w:val="20"/>
                <w:szCs w:val="20"/>
              </w:rPr>
            </w:pPr>
          </w:p>
        </w:tc>
        <w:tc>
          <w:tcPr>
            <w:tcW w:w="1496" w:type="dxa"/>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0.27</w:t>
            </w:r>
          </w:p>
        </w:tc>
        <w:tc>
          <w:tcPr>
            <w:tcW w:w="1712" w:type="dxa"/>
            <w:shd w:val="clear" w:color="auto" w:fill="auto"/>
          </w:tcPr>
          <w:p w:rsidR="007937A3" w:rsidRPr="006E61BB" w:rsidRDefault="007937A3" w:rsidP="006E61BB">
            <w:pPr>
              <w:pStyle w:val="BasicParagraph"/>
              <w:jc w:val="right"/>
              <w:rPr>
                <w:rFonts w:ascii="Arial Narrow" w:hAnsi="Arial Narrow"/>
                <w:sz w:val="20"/>
                <w:szCs w:val="20"/>
              </w:rPr>
            </w:pPr>
            <w:r w:rsidRPr="006E61BB">
              <w:rPr>
                <w:rFonts w:ascii="Arial Narrow" w:hAnsi="Arial Narrow"/>
                <w:sz w:val="20"/>
                <w:szCs w:val="20"/>
              </w:rPr>
              <w:t>0.32</w:t>
            </w:r>
          </w:p>
        </w:tc>
        <w:tc>
          <w:tcPr>
            <w:tcW w:w="1557" w:type="dxa"/>
            <w:shd w:val="clear" w:color="auto" w:fill="auto"/>
          </w:tcPr>
          <w:p w:rsidR="007937A3" w:rsidRPr="006E61BB" w:rsidRDefault="007937A3" w:rsidP="006E61BB">
            <w:pPr>
              <w:pStyle w:val="BasicParagraph"/>
              <w:jc w:val="right"/>
              <w:rPr>
                <w:rFonts w:ascii="Arial Narrow" w:hAnsi="Arial Narrow"/>
                <w:sz w:val="20"/>
                <w:szCs w:val="20"/>
              </w:rPr>
            </w:pPr>
          </w:p>
        </w:tc>
      </w:tr>
    </w:tbl>
    <w:p w:rsidR="0059279E" w:rsidRDefault="0059279E" w:rsidP="007860A0">
      <w:pPr>
        <w:pStyle w:val="BasicParagraph"/>
        <w:rPr>
          <w:rFonts w:ascii="Arial Narrow" w:hAnsi="Arial Narrow"/>
          <w:sz w:val="20"/>
          <w:szCs w:val="20"/>
        </w:rPr>
      </w:pPr>
    </w:p>
    <w:p w:rsidR="0059279E" w:rsidRDefault="0059279E" w:rsidP="007860A0">
      <w:pPr>
        <w:pStyle w:val="BasicParagraph"/>
        <w:rPr>
          <w:rFonts w:ascii="Arial Narrow" w:hAnsi="Arial Narrow"/>
          <w:sz w:val="20"/>
          <w:szCs w:val="20"/>
        </w:rPr>
      </w:pPr>
      <w:r>
        <w:rPr>
          <w:rFonts w:ascii="Arial Narrow" w:hAnsi="Arial Narrow"/>
          <w:sz w:val="20"/>
          <w:szCs w:val="20"/>
        </w:rPr>
        <w:t xml:space="preserve">I would have thought the replicate precision for each instrument would have been tighter.  Assuming the samples </w:t>
      </w:r>
      <w:r w:rsidR="000A16A5">
        <w:rPr>
          <w:rFonts w:ascii="Arial Narrow" w:hAnsi="Arial Narrow"/>
          <w:sz w:val="20"/>
          <w:szCs w:val="20"/>
        </w:rPr>
        <w:t>are</w:t>
      </w:r>
      <w:r>
        <w:rPr>
          <w:rFonts w:ascii="Arial Narrow" w:hAnsi="Arial Narrow"/>
          <w:sz w:val="20"/>
          <w:szCs w:val="20"/>
        </w:rPr>
        <w:t xml:space="preserve"> at the same temperature, this</w:t>
      </w:r>
      <w:r w:rsidR="000A16A5">
        <w:rPr>
          <w:rFonts w:ascii="Arial Narrow" w:hAnsi="Arial Narrow"/>
          <w:sz w:val="20"/>
          <w:szCs w:val="20"/>
        </w:rPr>
        <w:t xml:space="preserve"> variability points</w:t>
      </w:r>
      <w:r>
        <w:rPr>
          <w:rFonts w:ascii="Arial Narrow" w:hAnsi="Arial Narrow"/>
          <w:sz w:val="20"/>
          <w:szCs w:val="20"/>
        </w:rPr>
        <w:t xml:space="preserve"> to the uniformity of the vial and possible changes in sample scatter</w:t>
      </w:r>
      <w:r w:rsidR="000A16A5">
        <w:rPr>
          <w:rFonts w:ascii="Arial Narrow" w:hAnsi="Arial Narrow"/>
          <w:sz w:val="20"/>
          <w:szCs w:val="20"/>
        </w:rPr>
        <w:t xml:space="preserve"> from the vial</w:t>
      </w:r>
      <w:r>
        <w:rPr>
          <w:rFonts w:ascii="Arial Narrow" w:hAnsi="Arial Narrow"/>
          <w:sz w:val="20"/>
          <w:szCs w:val="20"/>
        </w:rPr>
        <w:t>.</w:t>
      </w:r>
      <w:r w:rsidR="000A16A5">
        <w:rPr>
          <w:rFonts w:ascii="Arial Narrow" w:hAnsi="Arial Narrow"/>
          <w:sz w:val="20"/>
          <w:szCs w:val="20"/>
        </w:rPr>
        <w:t xml:space="preserve"> </w:t>
      </w:r>
    </w:p>
    <w:p w:rsidR="0059279E" w:rsidRDefault="0059279E" w:rsidP="007860A0">
      <w:pPr>
        <w:pStyle w:val="BasicParagraph"/>
        <w:rPr>
          <w:rFonts w:ascii="Arial Narrow" w:hAnsi="Arial Narrow"/>
          <w:sz w:val="20"/>
          <w:szCs w:val="20"/>
        </w:rPr>
      </w:pPr>
    </w:p>
    <w:p w:rsidR="00B413B3" w:rsidRDefault="00B413B3" w:rsidP="007860A0">
      <w:pPr>
        <w:pStyle w:val="BasicParagraph"/>
        <w:rPr>
          <w:rFonts w:ascii="Arial Narrow" w:hAnsi="Arial Narrow"/>
          <w:sz w:val="20"/>
          <w:szCs w:val="20"/>
        </w:rPr>
      </w:pPr>
      <w:r>
        <w:rPr>
          <w:rFonts w:ascii="Arial Narrow" w:hAnsi="Arial Narrow"/>
          <w:sz w:val="20"/>
          <w:szCs w:val="20"/>
        </w:rPr>
        <w:t xml:space="preserve">Next I calculated the average for all 20 replicates measure on each of the two different instruments.  Again </w:t>
      </w:r>
      <w:r w:rsidR="00FD41E2">
        <w:rPr>
          <w:rFonts w:ascii="Arial Narrow" w:hAnsi="Arial Narrow"/>
          <w:sz w:val="20"/>
          <w:szCs w:val="20"/>
        </w:rPr>
        <w:t>the data</w:t>
      </w:r>
      <w:r>
        <w:rPr>
          <w:rFonts w:ascii="Arial Narrow" w:hAnsi="Arial Narrow"/>
          <w:sz w:val="20"/>
          <w:szCs w:val="20"/>
        </w:rPr>
        <w:t xml:space="preserve"> appears to be biased.</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2610"/>
        <w:gridCol w:w="2889"/>
        <w:gridCol w:w="2889"/>
      </w:tblGrid>
      <w:tr w:rsidR="006E61BB" w:rsidRPr="006E61BB" w:rsidTr="006E61BB">
        <w:tc>
          <w:tcPr>
            <w:tcW w:w="1350" w:type="dxa"/>
            <w:tcBorders>
              <w:top w:val="nil"/>
              <w:left w:val="nil"/>
              <w:bottom w:val="single" w:sz="4" w:space="0" w:color="auto"/>
              <w:right w:val="nil"/>
            </w:tcBorders>
            <w:shd w:val="clear" w:color="auto" w:fill="auto"/>
          </w:tcPr>
          <w:p w:rsidR="00FD41E2" w:rsidRPr="006E61BB" w:rsidRDefault="00FD41E2" w:rsidP="006E61BB">
            <w:pPr>
              <w:pStyle w:val="BasicParagraph"/>
              <w:jc w:val="right"/>
              <w:rPr>
                <w:rFonts w:ascii="Arial Narrow" w:hAnsi="Arial Narrow"/>
                <w:sz w:val="20"/>
                <w:szCs w:val="20"/>
              </w:rPr>
            </w:pPr>
          </w:p>
        </w:tc>
        <w:tc>
          <w:tcPr>
            <w:tcW w:w="2610" w:type="dxa"/>
            <w:tcBorders>
              <w:top w:val="nil"/>
              <w:left w:val="nil"/>
              <w:bottom w:val="single" w:sz="4" w:space="0" w:color="auto"/>
              <w:right w:val="nil"/>
            </w:tcBorders>
            <w:shd w:val="clear" w:color="auto" w:fill="auto"/>
          </w:tcPr>
          <w:p w:rsidR="00FD41E2" w:rsidRPr="006E61BB" w:rsidRDefault="00FD41E2" w:rsidP="006E61BB">
            <w:pPr>
              <w:pStyle w:val="BasicParagraph"/>
              <w:jc w:val="right"/>
              <w:rPr>
                <w:rFonts w:ascii="Arial Narrow" w:hAnsi="Arial Narrow"/>
                <w:sz w:val="20"/>
                <w:szCs w:val="20"/>
              </w:rPr>
            </w:pPr>
            <w:r w:rsidRPr="006E61BB">
              <w:rPr>
                <w:rFonts w:ascii="Arial Narrow" w:hAnsi="Arial Narrow"/>
                <w:sz w:val="20"/>
                <w:szCs w:val="20"/>
              </w:rPr>
              <w:t>QC all measurements</w:t>
            </w:r>
          </w:p>
        </w:tc>
        <w:tc>
          <w:tcPr>
            <w:tcW w:w="2889" w:type="dxa"/>
            <w:tcBorders>
              <w:top w:val="nil"/>
              <w:left w:val="nil"/>
              <w:bottom w:val="single" w:sz="4" w:space="0" w:color="auto"/>
              <w:right w:val="nil"/>
            </w:tcBorders>
            <w:shd w:val="clear" w:color="auto" w:fill="auto"/>
          </w:tcPr>
          <w:p w:rsidR="00FD41E2" w:rsidRPr="006E61BB" w:rsidRDefault="00FD41E2" w:rsidP="006E61BB">
            <w:pPr>
              <w:pStyle w:val="BasicParagraph"/>
              <w:jc w:val="right"/>
              <w:rPr>
                <w:rFonts w:ascii="Arial Narrow" w:hAnsi="Arial Narrow"/>
                <w:sz w:val="20"/>
                <w:szCs w:val="20"/>
              </w:rPr>
            </w:pPr>
            <w:r w:rsidRPr="006E61BB">
              <w:rPr>
                <w:rFonts w:ascii="Arial Narrow" w:hAnsi="Arial Narrow"/>
                <w:sz w:val="20"/>
                <w:szCs w:val="20"/>
              </w:rPr>
              <w:t>Production all measurements</w:t>
            </w:r>
          </w:p>
        </w:tc>
        <w:tc>
          <w:tcPr>
            <w:tcW w:w="2889" w:type="dxa"/>
            <w:tcBorders>
              <w:top w:val="nil"/>
              <w:left w:val="nil"/>
              <w:bottom w:val="single" w:sz="4" w:space="0" w:color="auto"/>
              <w:right w:val="nil"/>
            </w:tcBorders>
            <w:shd w:val="clear" w:color="auto" w:fill="auto"/>
          </w:tcPr>
          <w:p w:rsidR="00FD41E2" w:rsidRPr="006E61BB" w:rsidRDefault="00FD41E2" w:rsidP="006E61BB">
            <w:pPr>
              <w:pStyle w:val="BasicParagraph"/>
              <w:jc w:val="right"/>
              <w:rPr>
                <w:rFonts w:ascii="Arial Narrow" w:hAnsi="Arial Narrow"/>
                <w:sz w:val="20"/>
                <w:szCs w:val="20"/>
              </w:rPr>
            </w:pPr>
            <w:r w:rsidRPr="006E61BB">
              <w:rPr>
                <w:rFonts w:ascii="Arial Narrow" w:hAnsi="Arial Narrow"/>
                <w:sz w:val="20"/>
                <w:szCs w:val="20"/>
              </w:rPr>
              <w:t>Difference</w:t>
            </w:r>
          </w:p>
        </w:tc>
      </w:tr>
      <w:tr w:rsidR="006E61BB" w:rsidRPr="006E61BB" w:rsidTr="006E61BB">
        <w:tc>
          <w:tcPr>
            <w:tcW w:w="1350" w:type="dxa"/>
            <w:tcBorders>
              <w:top w:val="single" w:sz="4" w:space="0" w:color="auto"/>
            </w:tcBorders>
            <w:shd w:val="clear" w:color="auto" w:fill="auto"/>
          </w:tcPr>
          <w:p w:rsidR="00AA0B3E" w:rsidRPr="006E61BB" w:rsidRDefault="00AA0B3E" w:rsidP="006E61BB">
            <w:pPr>
              <w:pStyle w:val="BasicParagraph"/>
              <w:jc w:val="right"/>
              <w:rPr>
                <w:rFonts w:ascii="Arial Narrow" w:hAnsi="Arial Narrow"/>
                <w:sz w:val="20"/>
                <w:szCs w:val="20"/>
              </w:rPr>
            </w:pPr>
            <w:r w:rsidRPr="006E61BB">
              <w:rPr>
                <w:rFonts w:ascii="Arial Narrow" w:hAnsi="Arial Narrow"/>
                <w:sz w:val="20"/>
                <w:szCs w:val="20"/>
              </w:rPr>
              <w:t>Ave OHV value</w:t>
            </w:r>
          </w:p>
        </w:tc>
        <w:tc>
          <w:tcPr>
            <w:tcW w:w="2610" w:type="dxa"/>
            <w:tcBorders>
              <w:top w:val="single" w:sz="4" w:space="0" w:color="auto"/>
            </w:tcBorders>
            <w:shd w:val="clear" w:color="auto" w:fill="auto"/>
          </w:tcPr>
          <w:p w:rsidR="00AA0B3E" w:rsidRPr="006E61BB" w:rsidRDefault="00FD41E2" w:rsidP="006E61BB">
            <w:pPr>
              <w:pStyle w:val="BasicParagraph"/>
              <w:jc w:val="right"/>
              <w:rPr>
                <w:rFonts w:ascii="Arial Narrow" w:hAnsi="Arial Narrow"/>
                <w:sz w:val="20"/>
                <w:szCs w:val="20"/>
              </w:rPr>
            </w:pPr>
            <w:r w:rsidRPr="006E61BB">
              <w:rPr>
                <w:rFonts w:ascii="Arial Narrow" w:hAnsi="Arial Narrow"/>
                <w:sz w:val="20"/>
                <w:szCs w:val="20"/>
              </w:rPr>
              <w:t>46.84</w:t>
            </w:r>
          </w:p>
        </w:tc>
        <w:tc>
          <w:tcPr>
            <w:tcW w:w="2889" w:type="dxa"/>
            <w:tcBorders>
              <w:top w:val="single" w:sz="4" w:space="0" w:color="auto"/>
            </w:tcBorders>
            <w:shd w:val="clear" w:color="auto" w:fill="auto"/>
          </w:tcPr>
          <w:p w:rsidR="00AA0B3E" w:rsidRPr="006E61BB" w:rsidRDefault="00FD41E2" w:rsidP="006E61BB">
            <w:pPr>
              <w:pStyle w:val="BasicParagraph"/>
              <w:jc w:val="right"/>
              <w:rPr>
                <w:rFonts w:ascii="Arial Narrow" w:hAnsi="Arial Narrow"/>
                <w:sz w:val="20"/>
                <w:szCs w:val="20"/>
              </w:rPr>
            </w:pPr>
            <w:r w:rsidRPr="006E61BB">
              <w:rPr>
                <w:rFonts w:ascii="Arial Narrow" w:hAnsi="Arial Narrow"/>
                <w:sz w:val="20"/>
                <w:szCs w:val="20"/>
              </w:rPr>
              <w:t>51.65</w:t>
            </w:r>
          </w:p>
        </w:tc>
        <w:tc>
          <w:tcPr>
            <w:tcW w:w="2889" w:type="dxa"/>
            <w:tcBorders>
              <w:top w:val="single" w:sz="4" w:space="0" w:color="auto"/>
            </w:tcBorders>
            <w:shd w:val="clear" w:color="auto" w:fill="auto"/>
          </w:tcPr>
          <w:p w:rsidR="00AA0B3E" w:rsidRPr="006E61BB" w:rsidRDefault="00FD41E2" w:rsidP="006E61BB">
            <w:pPr>
              <w:pStyle w:val="BasicParagraph"/>
              <w:jc w:val="right"/>
              <w:rPr>
                <w:rFonts w:ascii="Arial Narrow" w:hAnsi="Arial Narrow"/>
                <w:sz w:val="20"/>
                <w:szCs w:val="20"/>
              </w:rPr>
            </w:pPr>
            <w:r w:rsidRPr="006E61BB">
              <w:rPr>
                <w:rFonts w:ascii="Arial Narrow" w:hAnsi="Arial Narrow"/>
                <w:sz w:val="20"/>
                <w:szCs w:val="20"/>
              </w:rPr>
              <w:t>-4.81</w:t>
            </w:r>
          </w:p>
        </w:tc>
      </w:tr>
    </w:tbl>
    <w:p w:rsidR="00B413B3" w:rsidRPr="00FD41E2" w:rsidRDefault="00B413B3" w:rsidP="007860A0">
      <w:pPr>
        <w:pStyle w:val="BasicParagraph"/>
        <w:rPr>
          <w:rFonts w:ascii="Arial Narrow" w:hAnsi="Arial Narrow"/>
          <w:b/>
          <w:sz w:val="20"/>
          <w:szCs w:val="20"/>
        </w:rPr>
      </w:pPr>
    </w:p>
    <w:p w:rsidR="00B413B3" w:rsidRDefault="00FD41E2" w:rsidP="007860A0">
      <w:pPr>
        <w:pStyle w:val="BasicParagraph"/>
        <w:rPr>
          <w:rFonts w:ascii="Arial Narrow" w:hAnsi="Arial Narrow"/>
          <w:sz w:val="20"/>
          <w:szCs w:val="20"/>
        </w:rPr>
      </w:pPr>
      <w:r>
        <w:rPr>
          <w:rFonts w:ascii="Arial Narrow" w:hAnsi="Arial Narrow"/>
          <w:sz w:val="20"/>
          <w:szCs w:val="20"/>
        </w:rPr>
        <w:t xml:space="preserve">I did a number of PLS1 calibrations using a combination of QC and Production spectra that you sent.  Each time I did a prediction on any production sample (samples that were not included in the calibration) the prediction results reported both a (very) high </w:t>
      </w:r>
      <w:r w:rsidR="0059279E">
        <w:rPr>
          <w:rFonts w:ascii="Arial Narrow" w:hAnsi="Arial Narrow"/>
          <w:sz w:val="20"/>
          <w:szCs w:val="20"/>
        </w:rPr>
        <w:t>M-Distance and high R</w:t>
      </w:r>
      <w:r w:rsidR="008B322B">
        <w:rPr>
          <w:rFonts w:ascii="Arial Narrow" w:hAnsi="Arial Narrow"/>
          <w:sz w:val="20"/>
          <w:szCs w:val="20"/>
        </w:rPr>
        <w:t xml:space="preserve">esidual </w:t>
      </w:r>
      <w:r w:rsidR="0059279E">
        <w:rPr>
          <w:rFonts w:ascii="Arial Narrow" w:hAnsi="Arial Narrow"/>
          <w:sz w:val="20"/>
          <w:szCs w:val="20"/>
        </w:rPr>
        <w:t>R</w:t>
      </w:r>
      <w:r w:rsidR="008B322B">
        <w:rPr>
          <w:rFonts w:ascii="Arial Narrow" w:hAnsi="Arial Narrow"/>
          <w:sz w:val="20"/>
          <w:szCs w:val="20"/>
        </w:rPr>
        <w:t xml:space="preserve">atio values.  These two statics are very helpful diagnostics tools.  The M-distance defines the boundary for the calibration standards.  The average distance for the calibration samples from the boundary edge to the center is set to be 1.0.  Values exceeding 1.0 are general related to concentration effects, that being samples beyond the calibration range.  The second statistic </w:t>
      </w:r>
      <w:r w:rsidR="0059279E">
        <w:rPr>
          <w:rFonts w:ascii="Arial Narrow" w:hAnsi="Arial Narrow"/>
          <w:sz w:val="20"/>
          <w:szCs w:val="20"/>
        </w:rPr>
        <w:t>is the R</w:t>
      </w:r>
      <w:r w:rsidR="008B322B">
        <w:rPr>
          <w:rFonts w:ascii="Arial Narrow" w:hAnsi="Arial Narrow"/>
          <w:sz w:val="20"/>
          <w:szCs w:val="20"/>
        </w:rPr>
        <w:t xml:space="preserve">esidual </w:t>
      </w:r>
      <w:r w:rsidR="0059279E">
        <w:rPr>
          <w:rFonts w:ascii="Arial Narrow" w:hAnsi="Arial Narrow"/>
          <w:sz w:val="20"/>
          <w:szCs w:val="20"/>
        </w:rPr>
        <w:t>R</w:t>
      </w:r>
      <w:r w:rsidR="008B322B">
        <w:rPr>
          <w:rFonts w:ascii="Arial Narrow" w:hAnsi="Arial Narrow"/>
          <w:sz w:val="20"/>
          <w:szCs w:val="20"/>
        </w:rPr>
        <w:t xml:space="preserve">atio; a high value here indicates that there are features in the spectra that exceed the average residual for the model. </w:t>
      </w:r>
      <w:r w:rsidR="00857449">
        <w:rPr>
          <w:rFonts w:ascii="Arial Narrow" w:hAnsi="Arial Narrow"/>
          <w:sz w:val="20"/>
          <w:szCs w:val="20"/>
        </w:rPr>
        <w:t xml:space="preserve">  Often times, but not limited to some type of carry over blending issue.  </w:t>
      </w:r>
    </w:p>
    <w:p w:rsidR="00857449" w:rsidRDefault="00857449" w:rsidP="007860A0">
      <w:pPr>
        <w:pStyle w:val="BasicParagraph"/>
        <w:rPr>
          <w:rFonts w:ascii="Arial Narrow" w:hAnsi="Arial Narrow"/>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6"/>
        <w:gridCol w:w="2484"/>
        <w:gridCol w:w="2484"/>
        <w:gridCol w:w="2484"/>
      </w:tblGrid>
      <w:tr w:rsidR="006E61BB" w:rsidRPr="006E61BB" w:rsidTr="006E61BB">
        <w:tc>
          <w:tcPr>
            <w:tcW w:w="2286" w:type="dxa"/>
            <w:tcBorders>
              <w:top w:val="nil"/>
              <w:left w:val="nil"/>
              <w:right w:val="nil"/>
            </w:tcBorders>
            <w:shd w:val="clear" w:color="auto" w:fill="auto"/>
          </w:tcPr>
          <w:p w:rsidR="00857449" w:rsidRPr="006E61BB" w:rsidRDefault="00857449" w:rsidP="006E61BB">
            <w:pPr>
              <w:pStyle w:val="BasicParagraph"/>
              <w:jc w:val="center"/>
              <w:rPr>
                <w:rFonts w:ascii="Arial Narrow" w:hAnsi="Arial Narrow"/>
                <w:sz w:val="20"/>
                <w:szCs w:val="20"/>
              </w:rPr>
            </w:pPr>
            <w:r w:rsidRPr="006E61BB">
              <w:rPr>
                <w:rFonts w:ascii="Arial Narrow" w:hAnsi="Arial Narrow"/>
                <w:sz w:val="20"/>
                <w:szCs w:val="20"/>
              </w:rPr>
              <w:t>Sample Id</w:t>
            </w:r>
          </w:p>
        </w:tc>
        <w:tc>
          <w:tcPr>
            <w:tcW w:w="2484" w:type="dxa"/>
            <w:tcBorders>
              <w:top w:val="nil"/>
              <w:left w:val="nil"/>
              <w:right w:val="nil"/>
            </w:tcBorders>
            <w:shd w:val="clear" w:color="auto" w:fill="auto"/>
          </w:tcPr>
          <w:p w:rsidR="00857449" w:rsidRPr="006E61BB" w:rsidRDefault="00857449" w:rsidP="006E61BB">
            <w:pPr>
              <w:pStyle w:val="BasicParagraph"/>
              <w:jc w:val="center"/>
              <w:rPr>
                <w:rFonts w:ascii="Arial Narrow" w:hAnsi="Arial Narrow"/>
                <w:sz w:val="20"/>
                <w:szCs w:val="20"/>
              </w:rPr>
            </w:pPr>
            <w:r w:rsidRPr="006E61BB">
              <w:rPr>
                <w:rFonts w:ascii="Arial Narrow" w:hAnsi="Arial Narrow"/>
                <w:sz w:val="20"/>
                <w:szCs w:val="20"/>
              </w:rPr>
              <w:t>OHV predicted</w:t>
            </w:r>
          </w:p>
        </w:tc>
        <w:tc>
          <w:tcPr>
            <w:tcW w:w="2484" w:type="dxa"/>
            <w:tcBorders>
              <w:top w:val="nil"/>
              <w:left w:val="nil"/>
              <w:right w:val="nil"/>
            </w:tcBorders>
            <w:shd w:val="clear" w:color="auto" w:fill="auto"/>
          </w:tcPr>
          <w:p w:rsidR="00857449" w:rsidRPr="006E61BB" w:rsidRDefault="00857449" w:rsidP="006E61BB">
            <w:pPr>
              <w:pStyle w:val="BasicParagraph"/>
              <w:jc w:val="center"/>
              <w:rPr>
                <w:rFonts w:ascii="Arial Narrow" w:hAnsi="Arial Narrow"/>
                <w:sz w:val="20"/>
                <w:szCs w:val="20"/>
              </w:rPr>
            </w:pPr>
            <w:r w:rsidRPr="006E61BB">
              <w:rPr>
                <w:rFonts w:ascii="Arial Narrow" w:hAnsi="Arial Narrow"/>
                <w:sz w:val="20"/>
                <w:szCs w:val="20"/>
              </w:rPr>
              <w:t>M-Distance</w:t>
            </w:r>
          </w:p>
        </w:tc>
        <w:tc>
          <w:tcPr>
            <w:tcW w:w="2484" w:type="dxa"/>
            <w:tcBorders>
              <w:top w:val="nil"/>
              <w:left w:val="nil"/>
              <w:right w:val="nil"/>
            </w:tcBorders>
            <w:shd w:val="clear" w:color="auto" w:fill="auto"/>
          </w:tcPr>
          <w:p w:rsidR="00857449" w:rsidRPr="006E61BB" w:rsidRDefault="00857449" w:rsidP="006E61BB">
            <w:pPr>
              <w:pStyle w:val="BasicParagraph"/>
              <w:jc w:val="center"/>
              <w:rPr>
                <w:rFonts w:ascii="Arial Narrow" w:hAnsi="Arial Narrow"/>
                <w:sz w:val="20"/>
                <w:szCs w:val="20"/>
              </w:rPr>
            </w:pPr>
            <w:r w:rsidRPr="006E61BB">
              <w:rPr>
                <w:rFonts w:ascii="Arial Narrow" w:hAnsi="Arial Narrow"/>
                <w:sz w:val="20"/>
                <w:szCs w:val="20"/>
              </w:rPr>
              <w:t>Residual Ratio</w:t>
            </w:r>
          </w:p>
        </w:tc>
      </w:tr>
      <w:tr w:rsidR="006E61BB" w:rsidRPr="006E61BB" w:rsidTr="006E61BB">
        <w:tc>
          <w:tcPr>
            <w:tcW w:w="2286" w:type="dxa"/>
            <w:shd w:val="clear" w:color="auto" w:fill="auto"/>
          </w:tcPr>
          <w:p w:rsidR="00857449" w:rsidRPr="006E61BB" w:rsidRDefault="00E14F14" w:rsidP="006E61BB">
            <w:pPr>
              <w:pStyle w:val="BasicParagraph"/>
              <w:jc w:val="right"/>
              <w:rPr>
                <w:rFonts w:ascii="Arial Narrow" w:hAnsi="Arial Narrow"/>
                <w:sz w:val="20"/>
                <w:szCs w:val="20"/>
              </w:rPr>
            </w:pPr>
            <w:r w:rsidRPr="006E61BB">
              <w:rPr>
                <w:rFonts w:ascii="Arial Narrow" w:hAnsi="Arial Narrow"/>
                <w:sz w:val="20"/>
                <w:szCs w:val="20"/>
              </w:rPr>
              <w:t>472sksm</w:t>
            </w:r>
          </w:p>
        </w:tc>
        <w:tc>
          <w:tcPr>
            <w:tcW w:w="2484" w:type="dxa"/>
            <w:shd w:val="clear" w:color="auto" w:fill="auto"/>
          </w:tcPr>
          <w:p w:rsidR="00857449" w:rsidRPr="006E61BB" w:rsidRDefault="00E14F14" w:rsidP="006E61BB">
            <w:pPr>
              <w:pStyle w:val="BasicParagraph"/>
              <w:jc w:val="right"/>
              <w:rPr>
                <w:rFonts w:ascii="Arial Narrow" w:hAnsi="Arial Narrow"/>
                <w:sz w:val="20"/>
                <w:szCs w:val="20"/>
              </w:rPr>
            </w:pPr>
            <w:r w:rsidRPr="006E61BB">
              <w:rPr>
                <w:rFonts w:ascii="Arial Narrow" w:hAnsi="Arial Narrow"/>
                <w:sz w:val="20"/>
                <w:szCs w:val="20"/>
              </w:rPr>
              <w:t>55.39</w:t>
            </w:r>
          </w:p>
        </w:tc>
        <w:tc>
          <w:tcPr>
            <w:tcW w:w="2484" w:type="dxa"/>
            <w:shd w:val="clear" w:color="auto" w:fill="auto"/>
          </w:tcPr>
          <w:p w:rsidR="00857449" w:rsidRPr="006E61BB" w:rsidRDefault="00E14F14" w:rsidP="006E61BB">
            <w:pPr>
              <w:pStyle w:val="BasicParagraph"/>
              <w:jc w:val="right"/>
              <w:rPr>
                <w:rFonts w:ascii="Arial Narrow" w:hAnsi="Arial Narrow"/>
                <w:sz w:val="20"/>
                <w:szCs w:val="20"/>
              </w:rPr>
            </w:pPr>
            <w:r w:rsidRPr="006E61BB">
              <w:rPr>
                <w:rFonts w:ascii="Arial Narrow" w:hAnsi="Arial Narrow"/>
                <w:sz w:val="20"/>
                <w:szCs w:val="20"/>
              </w:rPr>
              <w:t>10</w:t>
            </w:r>
            <w:r w:rsidR="005A464E" w:rsidRPr="006E61BB">
              <w:rPr>
                <w:rFonts w:ascii="Arial Narrow" w:hAnsi="Arial Narrow"/>
                <w:sz w:val="20"/>
                <w:szCs w:val="20"/>
              </w:rPr>
              <w:t>7</w:t>
            </w:r>
          </w:p>
        </w:tc>
        <w:tc>
          <w:tcPr>
            <w:tcW w:w="2484" w:type="dxa"/>
            <w:shd w:val="clear" w:color="auto" w:fill="auto"/>
          </w:tcPr>
          <w:p w:rsidR="00857449"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511</w:t>
            </w:r>
          </w:p>
        </w:tc>
      </w:tr>
      <w:tr w:rsidR="006E61BB" w:rsidRPr="006E61BB" w:rsidTr="006E61BB">
        <w:tc>
          <w:tcPr>
            <w:tcW w:w="2286" w:type="dxa"/>
            <w:shd w:val="clear" w:color="auto" w:fill="auto"/>
          </w:tcPr>
          <w:p w:rsidR="00857449"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472_pr</w:t>
            </w:r>
          </w:p>
        </w:tc>
        <w:tc>
          <w:tcPr>
            <w:tcW w:w="2484" w:type="dxa"/>
            <w:shd w:val="clear" w:color="auto" w:fill="auto"/>
          </w:tcPr>
          <w:p w:rsidR="00857449"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48.86</w:t>
            </w:r>
          </w:p>
        </w:tc>
        <w:tc>
          <w:tcPr>
            <w:tcW w:w="2484" w:type="dxa"/>
            <w:shd w:val="clear" w:color="auto" w:fill="auto"/>
          </w:tcPr>
          <w:p w:rsidR="00857449"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7.4</w:t>
            </w:r>
          </w:p>
        </w:tc>
        <w:tc>
          <w:tcPr>
            <w:tcW w:w="2484" w:type="dxa"/>
            <w:shd w:val="clear" w:color="auto" w:fill="auto"/>
          </w:tcPr>
          <w:p w:rsidR="00857449"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52</w:t>
            </w:r>
          </w:p>
        </w:tc>
      </w:tr>
      <w:tr w:rsidR="006E61BB" w:rsidRPr="006E61BB" w:rsidTr="006E61BB">
        <w:tc>
          <w:tcPr>
            <w:tcW w:w="2286" w:type="dxa"/>
            <w:shd w:val="clear" w:color="auto" w:fill="auto"/>
          </w:tcPr>
          <w:p w:rsidR="005A464E"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 xml:space="preserve">472_qc </w:t>
            </w:r>
          </w:p>
          <w:p w:rsidR="00E14F14"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(not used in calibration)</w:t>
            </w:r>
          </w:p>
        </w:tc>
        <w:tc>
          <w:tcPr>
            <w:tcW w:w="2484" w:type="dxa"/>
            <w:shd w:val="clear" w:color="auto" w:fill="auto"/>
          </w:tcPr>
          <w:p w:rsidR="00E14F14"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46.68</w:t>
            </w:r>
          </w:p>
        </w:tc>
        <w:tc>
          <w:tcPr>
            <w:tcW w:w="2484" w:type="dxa"/>
            <w:shd w:val="clear" w:color="auto" w:fill="auto"/>
          </w:tcPr>
          <w:p w:rsidR="00E14F14"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0.09</w:t>
            </w:r>
          </w:p>
        </w:tc>
        <w:tc>
          <w:tcPr>
            <w:tcW w:w="2484" w:type="dxa"/>
            <w:shd w:val="clear" w:color="auto" w:fill="auto"/>
          </w:tcPr>
          <w:p w:rsidR="00E14F14" w:rsidRPr="006E61BB" w:rsidRDefault="005A464E" w:rsidP="006E61BB">
            <w:pPr>
              <w:pStyle w:val="BasicParagraph"/>
              <w:jc w:val="right"/>
              <w:rPr>
                <w:rFonts w:ascii="Arial Narrow" w:hAnsi="Arial Narrow"/>
                <w:sz w:val="20"/>
                <w:szCs w:val="20"/>
              </w:rPr>
            </w:pPr>
            <w:r w:rsidRPr="006E61BB">
              <w:rPr>
                <w:rFonts w:ascii="Arial Narrow" w:hAnsi="Arial Narrow"/>
                <w:sz w:val="20"/>
                <w:szCs w:val="20"/>
              </w:rPr>
              <w:t>0.42</w:t>
            </w:r>
          </w:p>
        </w:tc>
      </w:tr>
    </w:tbl>
    <w:p w:rsidR="00857449" w:rsidRDefault="00857449" w:rsidP="007860A0">
      <w:pPr>
        <w:pStyle w:val="BasicParagraph"/>
        <w:rPr>
          <w:rFonts w:ascii="Arial Narrow" w:hAnsi="Arial Narrow"/>
          <w:sz w:val="20"/>
          <w:szCs w:val="20"/>
        </w:rPr>
      </w:pPr>
    </w:p>
    <w:p w:rsidR="005A464E" w:rsidRDefault="005A464E" w:rsidP="007860A0">
      <w:pPr>
        <w:pStyle w:val="BasicParagraph"/>
        <w:rPr>
          <w:rFonts w:ascii="Arial Narrow" w:hAnsi="Arial Narrow"/>
          <w:sz w:val="20"/>
          <w:szCs w:val="20"/>
        </w:rPr>
      </w:pPr>
    </w:p>
    <w:p w:rsidR="005A464E" w:rsidRDefault="005A464E" w:rsidP="007860A0">
      <w:pPr>
        <w:pStyle w:val="BasicParagraph"/>
        <w:rPr>
          <w:rFonts w:ascii="Arial Narrow" w:hAnsi="Arial Narrow"/>
          <w:sz w:val="20"/>
          <w:szCs w:val="20"/>
        </w:rPr>
      </w:pPr>
      <w:r>
        <w:rPr>
          <w:rFonts w:ascii="Arial Narrow" w:hAnsi="Arial Narrow"/>
          <w:sz w:val="20"/>
          <w:szCs w:val="20"/>
        </w:rPr>
        <w:t xml:space="preserve">One of the things </w:t>
      </w:r>
      <w:r w:rsidR="0059279E">
        <w:rPr>
          <w:rFonts w:ascii="Arial Narrow" w:hAnsi="Arial Narrow"/>
          <w:sz w:val="20"/>
          <w:szCs w:val="20"/>
        </w:rPr>
        <w:t xml:space="preserve">the software </w:t>
      </w:r>
      <w:r>
        <w:rPr>
          <w:rFonts w:ascii="Arial Narrow" w:hAnsi="Arial Narrow"/>
          <w:sz w:val="20"/>
          <w:szCs w:val="20"/>
        </w:rPr>
        <w:t xml:space="preserve">can do is produce a “prediction spectrum” (this is what the quant method thinks the spectrum should </w:t>
      </w:r>
      <w:r w:rsidR="00794583">
        <w:rPr>
          <w:rFonts w:ascii="Arial Narrow" w:hAnsi="Arial Narrow"/>
          <w:sz w:val="20"/>
          <w:szCs w:val="20"/>
        </w:rPr>
        <w:t>look like</w:t>
      </w:r>
      <w:r>
        <w:rPr>
          <w:rFonts w:ascii="Arial Narrow" w:hAnsi="Arial Narrow"/>
          <w:sz w:val="20"/>
          <w:szCs w:val="20"/>
        </w:rPr>
        <w:t>) and then compared it to the actual spectrum.  One then can produce a residual spectrum for the features not mod</w:t>
      </w:r>
      <w:r w:rsidR="00794583">
        <w:rPr>
          <w:rFonts w:ascii="Arial Narrow" w:hAnsi="Arial Narrow"/>
          <w:sz w:val="20"/>
          <w:szCs w:val="20"/>
        </w:rPr>
        <w:t>eled by the calibration for that predicted sample.</w:t>
      </w:r>
    </w:p>
    <w:p w:rsidR="005A464E" w:rsidRDefault="005A464E" w:rsidP="007860A0">
      <w:pPr>
        <w:pStyle w:val="BasicParagraph"/>
        <w:rPr>
          <w:rFonts w:ascii="Arial Narrow" w:hAnsi="Arial Narrow"/>
          <w:sz w:val="20"/>
          <w:szCs w:val="20"/>
        </w:rPr>
      </w:pPr>
    </w:p>
    <w:p w:rsidR="005A464E" w:rsidRDefault="005A464E" w:rsidP="007860A0">
      <w:pPr>
        <w:pStyle w:val="BasicParagraph"/>
        <w:rPr>
          <w:rFonts w:ascii="Arial Narrow" w:hAnsi="Arial Narrow"/>
          <w:sz w:val="20"/>
          <w:szCs w:val="20"/>
        </w:rPr>
      </w:pPr>
      <w:r>
        <w:rPr>
          <w:rFonts w:ascii="Arial Narrow" w:hAnsi="Arial Narrow"/>
          <w:sz w:val="20"/>
          <w:szCs w:val="20"/>
        </w:rPr>
        <w:t xml:space="preserve">Here is what this </w:t>
      </w:r>
      <w:r w:rsidR="00BB23A8">
        <w:rPr>
          <w:rFonts w:ascii="Arial Narrow" w:hAnsi="Arial Narrow"/>
          <w:sz w:val="20"/>
          <w:szCs w:val="20"/>
        </w:rPr>
        <w:t xml:space="preserve">residual spectrum </w:t>
      </w:r>
      <w:r>
        <w:rPr>
          <w:rFonts w:ascii="Arial Narrow" w:hAnsi="Arial Narrow"/>
          <w:sz w:val="20"/>
          <w:szCs w:val="20"/>
        </w:rPr>
        <w:t>looks like</w:t>
      </w:r>
      <w:r w:rsidR="00BB23A8">
        <w:rPr>
          <w:rFonts w:ascii="Arial Narrow" w:hAnsi="Arial Narrow"/>
          <w:sz w:val="20"/>
          <w:szCs w:val="20"/>
        </w:rPr>
        <w:t>.</w:t>
      </w:r>
      <w:r>
        <w:rPr>
          <w:rFonts w:ascii="Arial Narrow" w:hAnsi="Arial Narrow"/>
          <w:sz w:val="20"/>
          <w:szCs w:val="20"/>
        </w:rPr>
        <w:t xml:space="preserve">  The black spectra are all from production measurement</w:t>
      </w:r>
      <w:r w:rsidR="00794583">
        <w:rPr>
          <w:rFonts w:ascii="Arial Narrow" w:hAnsi="Arial Narrow"/>
          <w:sz w:val="20"/>
          <w:szCs w:val="20"/>
        </w:rPr>
        <w:t>s</w:t>
      </w:r>
      <w:r>
        <w:rPr>
          <w:rFonts w:ascii="Arial Narrow" w:hAnsi="Arial Narrow"/>
          <w:sz w:val="20"/>
          <w:szCs w:val="20"/>
        </w:rPr>
        <w:t xml:space="preserve"> while the red spe</w:t>
      </w:r>
      <w:r w:rsidR="00BB23A8">
        <w:rPr>
          <w:rFonts w:ascii="Arial Narrow" w:hAnsi="Arial Narrow"/>
          <w:sz w:val="20"/>
          <w:szCs w:val="20"/>
        </w:rPr>
        <w:t xml:space="preserve">ctrum is from a QC instrument.  </w:t>
      </w:r>
    </w:p>
    <w:p w:rsidR="00BB23A8" w:rsidRDefault="00BB23A8" w:rsidP="007860A0">
      <w:pPr>
        <w:pStyle w:val="BasicParagraph"/>
        <w:rPr>
          <w:rFonts w:ascii="Arial Narrow" w:hAnsi="Arial Narrow"/>
          <w:sz w:val="20"/>
          <w:szCs w:val="20"/>
        </w:rPr>
      </w:pPr>
    </w:p>
    <w:p w:rsidR="00BB23A8" w:rsidRDefault="00412AF9" w:rsidP="007860A0">
      <w:pPr>
        <w:pStyle w:val="BasicParagraph"/>
        <w:rPr>
          <w:rFonts w:ascii="Arial Narrow" w:hAnsi="Arial Narrow"/>
          <w:sz w:val="20"/>
          <w:szCs w:val="20"/>
        </w:rPr>
      </w:pPr>
      <w:r>
        <w:rPr>
          <w:rFonts w:ascii="Arial Narrow" w:hAnsi="Arial Narrow"/>
          <w:noProof/>
          <w:sz w:val="20"/>
          <w:szCs w:val="20"/>
        </w:rPr>
        <w:lastRenderedPageBreak/>
        <w:drawing>
          <wp:inline distT="0" distB="0" distL="0" distR="0">
            <wp:extent cx="5615940" cy="3883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615940" cy="3883025"/>
                    </a:xfrm>
                    <a:prstGeom prst="rect">
                      <a:avLst/>
                    </a:prstGeom>
                    <a:noFill/>
                    <a:ln w="9525">
                      <a:noFill/>
                      <a:miter lim="800000"/>
                      <a:headEnd/>
                      <a:tailEnd/>
                    </a:ln>
                  </pic:spPr>
                </pic:pic>
              </a:graphicData>
            </a:graphic>
          </wp:inline>
        </w:drawing>
      </w:r>
    </w:p>
    <w:p w:rsidR="00BB23A8" w:rsidRDefault="00BB23A8" w:rsidP="007860A0">
      <w:pPr>
        <w:pStyle w:val="BasicParagraph"/>
        <w:rPr>
          <w:rFonts w:ascii="Arial Narrow" w:hAnsi="Arial Narrow"/>
          <w:sz w:val="20"/>
          <w:szCs w:val="20"/>
        </w:rPr>
      </w:pPr>
    </w:p>
    <w:p w:rsidR="00BB23A8" w:rsidRDefault="00BB23A8" w:rsidP="007860A0">
      <w:pPr>
        <w:pStyle w:val="BasicParagraph"/>
        <w:rPr>
          <w:rFonts w:ascii="Arial Narrow" w:hAnsi="Arial Narrow"/>
          <w:sz w:val="20"/>
          <w:szCs w:val="20"/>
        </w:rPr>
      </w:pPr>
      <w:r>
        <w:rPr>
          <w:rFonts w:ascii="Arial Narrow" w:hAnsi="Arial Narrow"/>
          <w:sz w:val="20"/>
          <w:szCs w:val="20"/>
        </w:rPr>
        <w:t xml:space="preserve">This is a huge difference.  Now the question is where </w:t>
      </w:r>
      <w:r w:rsidR="00794583">
        <w:rPr>
          <w:rFonts w:ascii="Arial Narrow" w:hAnsi="Arial Narrow"/>
          <w:sz w:val="20"/>
          <w:szCs w:val="20"/>
        </w:rPr>
        <w:t>does</w:t>
      </w:r>
      <w:r>
        <w:rPr>
          <w:rFonts w:ascii="Arial Narrow" w:hAnsi="Arial Narrow"/>
          <w:sz w:val="20"/>
          <w:szCs w:val="20"/>
        </w:rPr>
        <w:t xml:space="preserve"> this come from?  If the sample had and air bubble in it would have shown up in the measure spectrum and would look more like the glass vials.  Temperature effects are likely </w:t>
      </w:r>
      <w:r w:rsidR="00794583">
        <w:rPr>
          <w:rFonts w:ascii="Arial Narrow" w:hAnsi="Arial Narrow"/>
          <w:sz w:val="20"/>
          <w:szCs w:val="20"/>
        </w:rPr>
        <w:t>to mov</w:t>
      </w:r>
      <w:r>
        <w:rPr>
          <w:rFonts w:ascii="Arial Narrow" w:hAnsi="Arial Narrow"/>
          <w:sz w:val="20"/>
          <w:szCs w:val="20"/>
        </w:rPr>
        <w:t xml:space="preserve">e band positions but not band intensities.  If I did not know the same tube was used </w:t>
      </w:r>
      <w:r w:rsidR="00794583">
        <w:rPr>
          <w:rFonts w:ascii="Arial Narrow" w:hAnsi="Arial Narrow"/>
          <w:sz w:val="20"/>
          <w:szCs w:val="20"/>
        </w:rPr>
        <w:t xml:space="preserve">I </w:t>
      </w:r>
      <w:r>
        <w:rPr>
          <w:rFonts w:ascii="Arial Narrow" w:hAnsi="Arial Narrow"/>
          <w:sz w:val="20"/>
          <w:szCs w:val="20"/>
        </w:rPr>
        <w:t xml:space="preserve">would have you confirm that the sample was measured using the same sample path length.  To be frank, I am not sure what the error source is.  </w:t>
      </w:r>
    </w:p>
    <w:p w:rsidR="00BB23A8" w:rsidRDefault="00BB23A8" w:rsidP="007860A0">
      <w:pPr>
        <w:pStyle w:val="BasicParagraph"/>
        <w:rPr>
          <w:rFonts w:ascii="Arial Narrow" w:hAnsi="Arial Narrow"/>
          <w:sz w:val="20"/>
          <w:szCs w:val="20"/>
        </w:rPr>
      </w:pPr>
    </w:p>
    <w:p w:rsidR="00BB23A8" w:rsidRDefault="000A16A5" w:rsidP="007860A0">
      <w:pPr>
        <w:pStyle w:val="BasicParagraph"/>
        <w:rPr>
          <w:rFonts w:ascii="Arial Narrow" w:hAnsi="Arial Narrow"/>
          <w:sz w:val="20"/>
          <w:szCs w:val="20"/>
        </w:rPr>
      </w:pPr>
      <w:r>
        <w:rPr>
          <w:rFonts w:ascii="Arial Narrow" w:hAnsi="Arial Narrow"/>
          <w:sz w:val="20"/>
          <w:szCs w:val="20"/>
        </w:rPr>
        <w:t>Not sure how much help this is.</w:t>
      </w:r>
    </w:p>
    <w:sectPr w:rsidR="00BB23A8" w:rsidSect="005A464E">
      <w:headerReference w:type="first" r:id="rId7"/>
      <w:type w:val="continuous"/>
      <w:pgSz w:w="12240" w:h="15840" w:code="1"/>
      <w:pgMar w:top="1170" w:right="1080" w:bottom="1080" w:left="144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BF" w:rsidRDefault="004B6ABF">
      <w:r>
        <w:separator/>
      </w:r>
    </w:p>
  </w:endnote>
  <w:endnote w:type="continuationSeparator" w:id="0">
    <w:p w:rsidR="004B6ABF" w:rsidRDefault="004B6AB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BF" w:rsidRDefault="004B6ABF">
      <w:r>
        <w:separator/>
      </w:r>
    </w:p>
  </w:footnote>
  <w:footnote w:type="continuationSeparator" w:id="0">
    <w:p w:rsidR="004B6ABF" w:rsidRDefault="004B6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2D" w:rsidRDefault="00EE372D" w:rsidP="00F10C34">
    <w:pPr>
      <w:pStyle w:val="Header"/>
      <w:tabs>
        <w:tab w:val="left" w:pos="63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8">
      <o:colormru v:ext="edit" colors="#eaeaea"/>
    </o:shapedefaults>
  </w:hdrShapeDefaults>
  <w:footnotePr>
    <w:footnote w:id="-1"/>
    <w:footnote w:id="0"/>
  </w:footnotePr>
  <w:endnotePr>
    <w:endnote w:id="-1"/>
    <w:endnote w:id="0"/>
  </w:endnotePr>
  <w:compat/>
  <w:rsids>
    <w:rsidRoot w:val="003A6D22"/>
    <w:rsid w:val="000163F7"/>
    <w:rsid w:val="000A16A5"/>
    <w:rsid w:val="000E6E51"/>
    <w:rsid w:val="000F11BA"/>
    <w:rsid w:val="000F6EF5"/>
    <w:rsid w:val="001770F5"/>
    <w:rsid w:val="00192E41"/>
    <w:rsid w:val="001A0984"/>
    <w:rsid w:val="001A7736"/>
    <w:rsid w:val="001C56AE"/>
    <w:rsid w:val="001F12C0"/>
    <w:rsid w:val="0024124F"/>
    <w:rsid w:val="00284CD1"/>
    <w:rsid w:val="002C0B32"/>
    <w:rsid w:val="0031221A"/>
    <w:rsid w:val="003A6D22"/>
    <w:rsid w:val="003F1C08"/>
    <w:rsid w:val="00412AF9"/>
    <w:rsid w:val="004B6ABF"/>
    <w:rsid w:val="00525082"/>
    <w:rsid w:val="0059279E"/>
    <w:rsid w:val="005A464E"/>
    <w:rsid w:val="005B1199"/>
    <w:rsid w:val="005E55B3"/>
    <w:rsid w:val="00665066"/>
    <w:rsid w:val="00694B57"/>
    <w:rsid w:val="006E61BB"/>
    <w:rsid w:val="006F6626"/>
    <w:rsid w:val="00733E28"/>
    <w:rsid w:val="00735871"/>
    <w:rsid w:val="007860A0"/>
    <w:rsid w:val="007937A3"/>
    <w:rsid w:val="00794583"/>
    <w:rsid w:val="007C151B"/>
    <w:rsid w:val="00813564"/>
    <w:rsid w:val="00827F80"/>
    <w:rsid w:val="008345E1"/>
    <w:rsid w:val="00857449"/>
    <w:rsid w:val="00866003"/>
    <w:rsid w:val="008758B3"/>
    <w:rsid w:val="008B322B"/>
    <w:rsid w:val="008B5248"/>
    <w:rsid w:val="008E0213"/>
    <w:rsid w:val="008F4BAE"/>
    <w:rsid w:val="00911EAA"/>
    <w:rsid w:val="009420B3"/>
    <w:rsid w:val="00970246"/>
    <w:rsid w:val="00997D5A"/>
    <w:rsid w:val="00A60B02"/>
    <w:rsid w:val="00A61B2D"/>
    <w:rsid w:val="00A715E1"/>
    <w:rsid w:val="00AA0B3E"/>
    <w:rsid w:val="00AA7187"/>
    <w:rsid w:val="00B413B3"/>
    <w:rsid w:val="00BB23A8"/>
    <w:rsid w:val="00BB4A72"/>
    <w:rsid w:val="00CC53E6"/>
    <w:rsid w:val="00D37673"/>
    <w:rsid w:val="00D61082"/>
    <w:rsid w:val="00D6188E"/>
    <w:rsid w:val="00E14F14"/>
    <w:rsid w:val="00EA1A25"/>
    <w:rsid w:val="00EC0464"/>
    <w:rsid w:val="00ED7568"/>
    <w:rsid w:val="00EE372D"/>
    <w:rsid w:val="00F10C34"/>
    <w:rsid w:val="00FD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aeae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D1994"/>
    <w:pPr>
      <w:widowControl w:val="0"/>
      <w:autoSpaceDE w:val="0"/>
      <w:autoSpaceDN w:val="0"/>
      <w:adjustRightInd w:val="0"/>
      <w:spacing w:line="288" w:lineRule="auto"/>
      <w:textAlignment w:val="center"/>
    </w:pPr>
    <w:rPr>
      <w:rFonts w:ascii="Courier" w:hAnsi="Courier" w:cs="Courier"/>
      <w:color w:val="000000"/>
    </w:rPr>
  </w:style>
  <w:style w:type="paragraph" w:styleId="Header">
    <w:name w:val="header"/>
    <w:basedOn w:val="Normal"/>
    <w:link w:val="HeaderChar"/>
    <w:uiPriority w:val="99"/>
    <w:semiHidden/>
    <w:unhideWhenUsed/>
    <w:rsid w:val="002D5175"/>
    <w:pPr>
      <w:tabs>
        <w:tab w:val="center" w:pos="4320"/>
        <w:tab w:val="right" w:pos="8640"/>
      </w:tabs>
    </w:pPr>
  </w:style>
  <w:style w:type="character" w:customStyle="1" w:styleId="HeaderChar">
    <w:name w:val="Header Char"/>
    <w:link w:val="Header"/>
    <w:uiPriority w:val="99"/>
    <w:semiHidden/>
    <w:rsid w:val="002D5175"/>
    <w:rPr>
      <w:sz w:val="24"/>
      <w:szCs w:val="24"/>
    </w:rPr>
  </w:style>
  <w:style w:type="paragraph" w:styleId="Footer">
    <w:name w:val="footer"/>
    <w:basedOn w:val="Normal"/>
    <w:link w:val="FooterChar"/>
    <w:uiPriority w:val="99"/>
    <w:semiHidden/>
    <w:unhideWhenUsed/>
    <w:rsid w:val="002D5175"/>
    <w:pPr>
      <w:tabs>
        <w:tab w:val="center" w:pos="4320"/>
        <w:tab w:val="right" w:pos="8640"/>
      </w:tabs>
    </w:pPr>
  </w:style>
  <w:style w:type="character" w:customStyle="1" w:styleId="FooterChar">
    <w:name w:val="Footer Char"/>
    <w:link w:val="Footer"/>
    <w:uiPriority w:val="99"/>
    <w:semiHidden/>
    <w:rsid w:val="002D5175"/>
    <w:rPr>
      <w:sz w:val="24"/>
      <w:szCs w:val="24"/>
    </w:rPr>
  </w:style>
  <w:style w:type="table" w:styleId="TableGrid">
    <w:name w:val="Table Grid"/>
    <w:basedOn w:val="TableNormal"/>
    <w:uiPriority w:val="59"/>
    <w:rsid w:val="002D51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CD1"/>
    <w:rPr>
      <w:rFonts w:ascii="Tahoma" w:hAnsi="Tahoma" w:cs="Tahoma"/>
      <w:sz w:val="16"/>
      <w:szCs w:val="16"/>
    </w:rPr>
  </w:style>
  <w:style w:type="character" w:customStyle="1" w:styleId="BalloonTextChar">
    <w:name w:val="Balloon Text Char"/>
    <w:basedOn w:val="DefaultParagraphFont"/>
    <w:link w:val="BalloonText"/>
    <w:uiPriority w:val="99"/>
    <w:semiHidden/>
    <w:rsid w:val="00284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PerkinElmer, Inc</vt:lpstr>
    </vt:vector>
  </TitlesOfParts>
  <Company>Hill Holliday</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PerkinElmer, Inc</dc:title>
  <dc:creator>PerkinElmer LAS</dc:creator>
  <cp:lastModifiedBy>Marisa Pabon</cp:lastModifiedBy>
  <cp:revision>2</cp:revision>
  <cp:lastPrinted>2008-12-16T18:10:00Z</cp:lastPrinted>
  <dcterms:created xsi:type="dcterms:W3CDTF">2015-02-06T13:23:00Z</dcterms:created>
  <dcterms:modified xsi:type="dcterms:W3CDTF">2015-02-06T13:23:00Z</dcterms:modified>
</cp:coreProperties>
</file>